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C2" w:rsidRDefault="00D85155" w:rsidP="00EA6ECF">
      <w:pPr>
        <w:tabs>
          <w:tab w:val="left" w:pos="3240"/>
        </w:tabs>
        <w:spacing w:beforeLines="50" w:after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证券代码：000893       </w:t>
      </w:r>
      <w:r w:rsidR="007F768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证券简称：东凌国际        </w:t>
      </w:r>
      <w:r w:rsidR="007F768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公告编号：2016-104</w:t>
      </w:r>
    </w:p>
    <w:p w:rsidR="007F7685" w:rsidRPr="007F7685" w:rsidRDefault="007F7685" w:rsidP="007F7685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FB4EC2" w:rsidRDefault="00D85155" w:rsidP="007F7685">
      <w:pPr>
        <w:tabs>
          <w:tab w:val="left" w:pos="3240"/>
        </w:tabs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广州东凌国际投资股份有限公司</w:t>
      </w:r>
    </w:p>
    <w:p w:rsidR="00FB4EC2" w:rsidRDefault="00D85155" w:rsidP="007F7685">
      <w:pPr>
        <w:tabs>
          <w:tab w:val="left" w:pos="3240"/>
        </w:tabs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2016年前三季度业绩预告</w:t>
      </w:r>
    </w:p>
    <w:p w:rsidR="00FB4EC2" w:rsidRDefault="00FB4EC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本公司及董事会全体成员保证信息披露的内容真实、准确、完整，没有虚假记载、误导性陈述或重大遗漏。</w:t>
      </w:r>
    </w:p>
    <w:p w:rsidR="00FB4EC2" w:rsidRPr="007F7685" w:rsidRDefault="00FB4EC2" w:rsidP="007F7685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一、本期业绩预计情况</w:t>
      </w: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1、业绩预告期间：2016年1月1日——2016年9月30日；</w:t>
      </w: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2、预计的经营业绩： </w:t>
      </w:r>
      <w:r>
        <w:rPr>
          <w:rFonts w:asciiTheme="minorEastAsia" w:hAnsiTheme="minorEastAsia" w:hint="eastAsia"/>
          <w:sz w:val="24"/>
          <w:szCs w:val="24"/>
        </w:rPr>
        <w:sym w:font="Symbol" w:char="00F0"/>
      </w:r>
      <w:r>
        <w:rPr>
          <w:rFonts w:asciiTheme="minorEastAsia" w:hAnsiTheme="minorEastAsia" w:hint="eastAsia"/>
          <w:sz w:val="24"/>
          <w:szCs w:val="24"/>
        </w:rPr>
        <w:t xml:space="preserve">亏损  √扭亏为盈  </w:t>
      </w:r>
      <w:r>
        <w:rPr>
          <w:rFonts w:asciiTheme="minorEastAsia" w:hAnsiTheme="minorEastAsia" w:hint="eastAsia"/>
          <w:sz w:val="24"/>
          <w:szCs w:val="24"/>
        </w:rPr>
        <w:sym w:font="Symbol" w:char="00F0"/>
      </w:r>
      <w:r>
        <w:rPr>
          <w:rFonts w:asciiTheme="minorEastAsia" w:hAnsiTheme="minorEastAsia" w:hint="eastAsia"/>
          <w:sz w:val="24"/>
          <w:szCs w:val="24"/>
        </w:rPr>
        <w:t xml:space="preserve">同向上升  </w:t>
      </w:r>
      <w:r>
        <w:rPr>
          <w:rFonts w:asciiTheme="minorEastAsia" w:hAnsiTheme="minorEastAsia" w:hint="eastAsia"/>
          <w:sz w:val="24"/>
          <w:szCs w:val="24"/>
        </w:rPr>
        <w:sym w:font="Symbol" w:char="00F0"/>
      </w:r>
      <w:r>
        <w:rPr>
          <w:rFonts w:asciiTheme="minorEastAsia" w:hAnsiTheme="minorEastAsia" w:hint="eastAsia"/>
          <w:sz w:val="24"/>
          <w:szCs w:val="24"/>
        </w:rPr>
        <w:t>同向下降。</w:t>
      </w: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(1)2016年1-9月业绩预告情况：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3960"/>
        <w:gridCol w:w="3171"/>
      </w:tblGrid>
      <w:tr w:rsidR="00FB4EC2">
        <w:trPr>
          <w:trHeight w:val="5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本报告期</w:t>
            </w:r>
          </w:p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（2016年1-9月）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上年同期</w:t>
            </w:r>
          </w:p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（2015年1-9月）</w:t>
            </w:r>
          </w:p>
        </w:tc>
      </w:tr>
      <w:tr w:rsidR="00FB4EC2">
        <w:trPr>
          <w:trHeight w:val="5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归属于上市公司股东的净利润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E4" w:rsidRPr="00540FD2" w:rsidRDefault="00D83AE4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盈利</w:t>
            </w:r>
            <w:r w:rsidRPr="00540FD2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约1,900</w:t>
            </w:r>
            <w:r w:rsidRPr="00540FD2">
              <w:rPr>
                <w:rFonts w:asciiTheme="minorEastAsia" w:hAnsiTheme="minorEastAsia" w:hint="eastAsia"/>
                <w:szCs w:val="21"/>
              </w:rPr>
              <w:t>万元</w:t>
            </w:r>
          </w:p>
          <w:p w:rsidR="00FB4EC2" w:rsidRDefault="00D83AE4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540FD2">
              <w:rPr>
                <w:rFonts w:asciiTheme="minorEastAsia" w:hAnsiTheme="minorEastAsia" w:hint="eastAsia"/>
                <w:szCs w:val="21"/>
              </w:rPr>
              <w:t>比上年同期增长：</w:t>
            </w:r>
            <w:r>
              <w:rPr>
                <w:rFonts w:asciiTheme="minorEastAsia" w:hAnsiTheme="minorEastAsia" w:hint="eastAsia"/>
                <w:szCs w:val="21"/>
              </w:rPr>
              <w:t>约108.17</w:t>
            </w:r>
            <w:r w:rsidRPr="00540FD2"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亏损：23,248万元</w:t>
            </w:r>
          </w:p>
        </w:tc>
      </w:tr>
      <w:tr w:rsidR="00FB4EC2">
        <w:trPr>
          <w:trHeight w:val="57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基本每股收益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3AE4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盈利</w:t>
            </w:r>
            <w:r w:rsidRPr="00540FD2">
              <w:rPr>
                <w:rFonts w:asciiTheme="minorEastAsia" w:hAnsiTheme="minorEastAsia" w:hint="eastAsia"/>
                <w:szCs w:val="21"/>
              </w:rPr>
              <w:t>：约</w:t>
            </w:r>
            <w:r>
              <w:rPr>
                <w:rFonts w:asciiTheme="minorEastAsia" w:hAnsiTheme="minorEastAsia" w:hint="eastAsia"/>
                <w:szCs w:val="21"/>
              </w:rPr>
              <w:t>0.0251</w:t>
            </w:r>
            <w:r w:rsidRPr="00540FD2"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亏损：0.57元</w:t>
            </w:r>
          </w:p>
        </w:tc>
      </w:tr>
    </w:tbl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(2)20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16年7-9月业绩预告情况：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3960"/>
        <w:gridCol w:w="3171"/>
      </w:tblGrid>
      <w:tr w:rsidR="00FB4EC2">
        <w:trPr>
          <w:trHeight w:val="89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本报告期</w:t>
            </w:r>
          </w:p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（2016年7-9月）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上年同期</w:t>
            </w:r>
          </w:p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（2015年7-9月）</w:t>
            </w:r>
          </w:p>
        </w:tc>
      </w:tr>
      <w:tr w:rsidR="00FB4EC2">
        <w:trPr>
          <w:trHeight w:val="5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归属于上市公司股东的净利润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E4" w:rsidRPr="00540FD2" w:rsidRDefault="00D83AE4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盈利</w:t>
            </w:r>
            <w:r w:rsidRPr="00540FD2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约580</w:t>
            </w:r>
            <w:r w:rsidRPr="00540FD2">
              <w:rPr>
                <w:rFonts w:asciiTheme="minorEastAsia" w:hAnsiTheme="minorEastAsia" w:hint="eastAsia"/>
                <w:szCs w:val="21"/>
              </w:rPr>
              <w:t>万元</w:t>
            </w:r>
          </w:p>
          <w:p w:rsidR="00FB4EC2" w:rsidRDefault="00D83AE4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540FD2">
              <w:rPr>
                <w:rFonts w:asciiTheme="minorEastAsia" w:hAnsiTheme="minorEastAsia" w:hint="eastAsia"/>
                <w:szCs w:val="21"/>
              </w:rPr>
              <w:t>比上年同期增长：</w:t>
            </w:r>
            <w:r>
              <w:rPr>
                <w:rFonts w:asciiTheme="minorEastAsia" w:hAnsiTheme="minorEastAsia" w:hint="eastAsia"/>
                <w:szCs w:val="21"/>
              </w:rPr>
              <w:t>约102.91</w:t>
            </w:r>
            <w:r w:rsidRPr="00540FD2"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亏损：19,907万元</w:t>
            </w:r>
          </w:p>
        </w:tc>
      </w:tr>
      <w:tr w:rsidR="00FB4EC2">
        <w:trPr>
          <w:trHeight w:val="5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基本每股收益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3AE4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盈利</w:t>
            </w:r>
            <w:r w:rsidRPr="00540FD2">
              <w:rPr>
                <w:rFonts w:asciiTheme="minorEastAsia" w:hAnsiTheme="minorEastAsia" w:hint="eastAsia"/>
                <w:szCs w:val="21"/>
              </w:rPr>
              <w:t>：约</w:t>
            </w:r>
            <w:r>
              <w:rPr>
                <w:rFonts w:asciiTheme="minorEastAsia" w:hAnsiTheme="minorEastAsia" w:hint="eastAsia"/>
                <w:szCs w:val="21"/>
              </w:rPr>
              <w:t>0.0077</w:t>
            </w:r>
            <w:r w:rsidRPr="00540FD2"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C2" w:rsidRDefault="00D85155" w:rsidP="00EA6ECF">
            <w:pPr>
              <w:tabs>
                <w:tab w:val="left" w:pos="3240"/>
              </w:tabs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亏损：0.49元</w:t>
            </w:r>
          </w:p>
        </w:tc>
      </w:tr>
    </w:tbl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二、业绩预告预审计情况</w:t>
      </w: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本次业绩预告未经过注册会计师审计。</w:t>
      </w: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三、业绩变动原因说明</w:t>
      </w:r>
    </w:p>
    <w:p w:rsidR="00FB4EC2" w:rsidRDefault="00D85155" w:rsidP="00EA6ECF">
      <w:pPr>
        <w:tabs>
          <w:tab w:val="left" w:pos="3240"/>
        </w:tabs>
        <w:spacing w:beforeLines="50" w:afterLines="50"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公司于</w:t>
      </w:r>
      <w:r>
        <w:rPr>
          <w:rFonts w:asciiTheme="minorEastAsia" w:hAnsiTheme="minorEastAsia"/>
          <w:sz w:val="24"/>
          <w:szCs w:val="24"/>
        </w:rPr>
        <w:t>2015</w:t>
      </w:r>
      <w:r>
        <w:rPr>
          <w:rFonts w:asciiTheme="minorEastAsia" w:hAnsiTheme="minorEastAsia" w:hint="eastAsia"/>
          <w:sz w:val="24"/>
          <w:szCs w:val="24"/>
        </w:rPr>
        <w:t>年底完成了大豆加工相关业务的资产剥离工作，目前公司的主要业务包括钾盐开采、钾肥生产及销售、谷物贸易及国际船务等。本报告期内，各项业务运营正常，公司总体经营状况得到改善，公司业绩较上年同期扭亏为盈。</w:t>
      </w: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四、其他相关说明</w:t>
      </w:r>
    </w:p>
    <w:p w:rsidR="00FB4EC2" w:rsidRDefault="00D85155" w:rsidP="00EA6ECF">
      <w:pPr>
        <w:tabs>
          <w:tab w:val="left" w:pos="3240"/>
        </w:tabs>
        <w:spacing w:beforeLines="50" w:afterLines="50"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本次业绩预告是公司财务部门的初步测算结果，具体财务数据将在本公司2016 年第三季度报告中予以详细披露。敬请广大投资者谨慎决策投资，注意投资风险。</w:t>
      </w: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特此公告。 </w:t>
      </w:r>
      <w:r>
        <w:rPr>
          <w:rFonts w:asciiTheme="minorEastAsia" w:hAnsiTheme="minorEastAsia"/>
          <w:sz w:val="24"/>
          <w:szCs w:val="24"/>
        </w:rPr>
        <w:cr/>
      </w:r>
    </w:p>
    <w:p w:rsidR="00FB4EC2" w:rsidRDefault="00D85155" w:rsidP="00EA6ECF">
      <w:pPr>
        <w:tabs>
          <w:tab w:val="left" w:pos="3240"/>
        </w:tabs>
        <w:spacing w:beforeLines="50" w:afterLines="50" w:line="360" w:lineRule="auto"/>
        <w:ind w:firstLineChars="250" w:firstLine="6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广州东凌国际投资股份有限公司董事会</w:t>
      </w:r>
    </w:p>
    <w:p w:rsidR="00FB4EC2" w:rsidRDefault="00A83DD5" w:rsidP="00EA6ECF">
      <w:pPr>
        <w:tabs>
          <w:tab w:val="left" w:pos="3240"/>
        </w:tabs>
        <w:spacing w:beforeLines="50" w:afterLines="50" w:line="360" w:lineRule="auto"/>
        <w:ind w:right="720" w:firstLineChars="250" w:firstLine="60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  <w:r w:rsidR="00D85155">
        <w:rPr>
          <w:rFonts w:asciiTheme="minorEastAsia" w:hAnsiTheme="minorEastAsia" w:hint="eastAsia"/>
          <w:sz w:val="24"/>
          <w:szCs w:val="24"/>
        </w:rPr>
        <w:t>2016年10月1</w:t>
      </w:r>
      <w:r w:rsidR="003038C5">
        <w:rPr>
          <w:rFonts w:asciiTheme="minorEastAsia" w:hAnsiTheme="minorEastAsia" w:hint="eastAsia"/>
          <w:sz w:val="24"/>
          <w:szCs w:val="24"/>
        </w:rPr>
        <w:t>4</w:t>
      </w:r>
      <w:r w:rsidR="00D85155">
        <w:rPr>
          <w:rFonts w:asciiTheme="minorEastAsia" w:hAnsiTheme="minorEastAsia" w:hint="eastAsia"/>
          <w:sz w:val="24"/>
          <w:szCs w:val="24"/>
        </w:rPr>
        <w:t>日</w:t>
      </w:r>
    </w:p>
    <w:p w:rsidR="00FB4EC2" w:rsidRDefault="00FB4EC2" w:rsidP="00162C19">
      <w:pPr>
        <w:spacing w:beforeLines="50" w:afterLines="50" w:line="360" w:lineRule="auto"/>
        <w:rPr>
          <w:rFonts w:asciiTheme="minorEastAsia" w:hAnsiTheme="minorEastAsia"/>
          <w:sz w:val="24"/>
          <w:szCs w:val="24"/>
        </w:rPr>
      </w:pPr>
    </w:p>
    <w:sectPr w:rsidR="00FB4EC2" w:rsidSect="00FB4EC2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5F" w:rsidRDefault="00F82C5F" w:rsidP="007F7685">
      <w:r>
        <w:separator/>
      </w:r>
    </w:p>
  </w:endnote>
  <w:endnote w:type="continuationSeparator" w:id="1">
    <w:p w:rsidR="00F82C5F" w:rsidRDefault="00F82C5F" w:rsidP="007F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5F" w:rsidRDefault="00F82C5F" w:rsidP="007F7685">
      <w:r>
        <w:separator/>
      </w:r>
    </w:p>
  </w:footnote>
  <w:footnote w:type="continuationSeparator" w:id="1">
    <w:p w:rsidR="00F82C5F" w:rsidRDefault="00F82C5F" w:rsidP="007F7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ECD"/>
    <w:rsid w:val="000070F4"/>
    <w:rsid w:val="000162A0"/>
    <w:rsid w:val="00024E6B"/>
    <w:rsid w:val="00075E2B"/>
    <w:rsid w:val="0007795F"/>
    <w:rsid w:val="00090038"/>
    <w:rsid w:val="000A1085"/>
    <w:rsid w:val="0011115B"/>
    <w:rsid w:val="001336D3"/>
    <w:rsid w:val="00136E5A"/>
    <w:rsid w:val="00162C19"/>
    <w:rsid w:val="00177816"/>
    <w:rsid w:val="00191FD8"/>
    <w:rsid w:val="001D1D3B"/>
    <w:rsid w:val="001E4EAC"/>
    <w:rsid w:val="00235A6C"/>
    <w:rsid w:val="00254A97"/>
    <w:rsid w:val="00292FC1"/>
    <w:rsid w:val="002A2B02"/>
    <w:rsid w:val="002A4F51"/>
    <w:rsid w:val="002B23AA"/>
    <w:rsid w:val="002D4402"/>
    <w:rsid w:val="002F7BA6"/>
    <w:rsid w:val="003038C5"/>
    <w:rsid w:val="00324C1B"/>
    <w:rsid w:val="003835A2"/>
    <w:rsid w:val="003867F8"/>
    <w:rsid w:val="003A09F5"/>
    <w:rsid w:val="00401204"/>
    <w:rsid w:val="00413229"/>
    <w:rsid w:val="00434BC0"/>
    <w:rsid w:val="00435CF6"/>
    <w:rsid w:val="00442866"/>
    <w:rsid w:val="004870E5"/>
    <w:rsid w:val="004A79B4"/>
    <w:rsid w:val="004B683D"/>
    <w:rsid w:val="00523C10"/>
    <w:rsid w:val="00540FD2"/>
    <w:rsid w:val="00542970"/>
    <w:rsid w:val="0056025F"/>
    <w:rsid w:val="005A5B8F"/>
    <w:rsid w:val="005B0317"/>
    <w:rsid w:val="00616FF2"/>
    <w:rsid w:val="00630009"/>
    <w:rsid w:val="00692A6E"/>
    <w:rsid w:val="006A3E8F"/>
    <w:rsid w:val="006C0061"/>
    <w:rsid w:val="006E4F05"/>
    <w:rsid w:val="006F3A4B"/>
    <w:rsid w:val="00715A09"/>
    <w:rsid w:val="0074068D"/>
    <w:rsid w:val="0075591B"/>
    <w:rsid w:val="00785D9A"/>
    <w:rsid w:val="007B1F5E"/>
    <w:rsid w:val="007F7685"/>
    <w:rsid w:val="0088640B"/>
    <w:rsid w:val="00897255"/>
    <w:rsid w:val="008A1E1C"/>
    <w:rsid w:val="008D49CE"/>
    <w:rsid w:val="0090043F"/>
    <w:rsid w:val="00910963"/>
    <w:rsid w:val="009A088A"/>
    <w:rsid w:val="009D382F"/>
    <w:rsid w:val="009E283D"/>
    <w:rsid w:val="009F7ECD"/>
    <w:rsid w:val="00A83DD5"/>
    <w:rsid w:val="00AB08FB"/>
    <w:rsid w:val="00AB4DB8"/>
    <w:rsid w:val="00B062B0"/>
    <w:rsid w:val="00B24D9B"/>
    <w:rsid w:val="00B90082"/>
    <w:rsid w:val="00B979FF"/>
    <w:rsid w:val="00BF21F9"/>
    <w:rsid w:val="00C108A3"/>
    <w:rsid w:val="00C20C06"/>
    <w:rsid w:val="00C23687"/>
    <w:rsid w:val="00CC16F4"/>
    <w:rsid w:val="00CC4D09"/>
    <w:rsid w:val="00CC68A4"/>
    <w:rsid w:val="00CE5415"/>
    <w:rsid w:val="00D32444"/>
    <w:rsid w:val="00D764C3"/>
    <w:rsid w:val="00D83AE4"/>
    <w:rsid w:val="00D85155"/>
    <w:rsid w:val="00D96198"/>
    <w:rsid w:val="00E834AD"/>
    <w:rsid w:val="00E931D6"/>
    <w:rsid w:val="00E979F7"/>
    <w:rsid w:val="00EA6ECF"/>
    <w:rsid w:val="00EA7E4C"/>
    <w:rsid w:val="00ED23B2"/>
    <w:rsid w:val="00F064DA"/>
    <w:rsid w:val="00F12872"/>
    <w:rsid w:val="00F303B8"/>
    <w:rsid w:val="00F728EE"/>
    <w:rsid w:val="00F77792"/>
    <w:rsid w:val="00F805A1"/>
    <w:rsid w:val="00F82C5F"/>
    <w:rsid w:val="00F95FE4"/>
    <w:rsid w:val="00FA4226"/>
    <w:rsid w:val="00FB4EC2"/>
    <w:rsid w:val="00FC46A7"/>
    <w:rsid w:val="00FF4853"/>
    <w:rsid w:val="00FF73F8"/>
    <w:rsid w:val="54DE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FB4EC2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FB4EC2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FB4EC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B4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FB4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FB4EC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rsid w:val="00FB4EC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B4E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FB4EC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FB4EC2"/>
  </w:style>
  <w:style w:type="character" w:customStyle="1" w:styleId="Char">
    <w:name w:val="批注主题 Char"/>
    <w:basedOn w:val="Char0"/>
    <w:link w:val="a3"/>
    <w:uiPriority w:val="99"/>
    <w:semiHidden/>
    <w:qFormat/>
    <w:rsid w:val="00FB4EC2"/>
    <w:rPr>
      <w:b/>
      <w:bCs/>
    </w:rPr>
  </w:style>
  <w:style w:type="paragraph" w:customStyle="1" w:styleId="Default">
    <w:name w:val="Default"/>
    <w:rsid w:val="00FB4EC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杨翔瑞</dc:creator>
  <cp:lastModifiedBy>鲁智旸</cp:lastModifiedBy>
  <cp:revision>44</cp:revision>
  <dcterms:created xsi:type="dcterms:W3CDTF">2015-10-14T06:43:00Z</dcterms:created>
  <dcterms:modified xsi:type="dcterms:W3CDTF">2016-10-14T08:39:00Z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